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0F263" w14:textId="0D13AB63" w:rsidR="0021309F" w:rsidRDefault="00171482">
      <w:bookmarkStart w:id="0" w:name="_GoBack"/>
      <w:bookmarkEnd w:id="0"/>
      <w:r>
        <w:t>Outlook Press Release Notes</w:t>
      </w:r>
      <w:r w:rsidR="009128FF">
        <w:t xml:space="preserve"> To Editors Table 1</w:t>
      </w:r>
    </w:p>
    <w:p w14:paraId="45756219" w14:textId="77777777" w:rsidR="009128FF" w:rsidRPr="00F26BC2" w:rsidRDefault="009128FF" w:rsidP="009128FF">
      <w:pPr>
        <w:rPr>
          <w:rFonts w:ascii="Arial" w:hAnsi="Arial" w:cs="Arial"/>
          <w:b/>
          <w:bCs/>
          <w:u w:val="single"/>
        </w:rPr>
      </w:pPr>
      <w:r w:rsidRPr="00F26BC2">
        <w:rPr>
          <w:rFonts w:ascii="Arial" w:hAnsi="Arial" w:cs="Arial"/>
          <w:b/>
          <w:bCs/>
          <w:u w:val="single"/>
        </w:rPr>
        <w:t>Notes to Editors</w:t>
      </w:r>
    </w:p>
    <w:p w14:paraId="434127FB" w14:textId="77777777" w:rsidR="009128FF" w:rsidRPr="00F26BC2" w:rsidRDefault="009128FF" w:rsidP="009128FF">
      <w:pPr>
        <w:rPr>
          <w:rFonts w:ascii="Arial" w:hAnsi="Arial" w:cs="Arial"/>
          <w:u w:val="single"/>
        </w:rPr>
      </w:pPr>
      <w:r w:rsidRPr="00F26BC2">
        <w:rPr>
          <w:rFonts w:ascii="Arial" w:hAnsi="Arial" w:cs="Arial"/>
          <w:u w:val="single"/>
        </w:rPr>
        <w:t>Table 1: Breakdown of supplementary levy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43"/>
      </w:tblGrid>
      <w:tr w:rsidR="009128FF" w:rsidRPr="00F26BC2" w14:paraId="7C896021" w14:textId="77777777" w:rsidTr="009128FF">
        <w:tc>
          <w:tcPr>
            <w:tcW w:w="9006" w:type="dxa"/>
            <w:gridSpan w:val="2"/>
            <w:shd w:val="clear" w:color="auto" w:fill="FBD1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AC4A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Breakdown of £92m total supplementary levy</w:t>
            </w:r>
          </w:p>
        </w:tc>
      </w:tr>
      <w:tr w:rsidR="009128FF" w:rsidRPr="00F26BC2" w14:paraId="403900E4" w14:textId="77777777" w:rsidTr="009128FF">
        <w:tc>
          <w:tcPr>
            <w:tcW w:w="2263" w:type="dxa"/>
            <w:shd w:val="clear" w:color="auto" w:fill="FBD1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DC9B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£28m</w:t>
            </w:r>
          </w:p>
        </w:tc>
        <w:tc>
          <w:tcPr>
            <w:tcW w:w="6743" w:type="dxa"/>
            <w:shd w:val="clear" w:color="auto" w:fill="FBD1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01A5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color w:val="000000"/>
              </w:rPr>
              <w:t xml:space="preserve">Contribution from the </w:t>
            </w:r>
            <w:r w:rsidRPr="00F26BC2">
              <w:rPr>
                <w:rFonts w:ascii="Arial" w:hAnsi="Arial" w:cs="Arial"/>
                <w:b/>
                <w:bCs/>
                <w:color w:val="000000"/>
              </w:rPr>
              <w:t>Investment Provision</w:t>
            </w:r>
            <w:r w:rsidRPr="00F26BC2">
              <w:rPr>
                <w:rFonts w:ascii="Arial" w:hAnsi="Arial" w:cs="Arial"/>
                <w:color w:val="000000"/>
              </w:rPr>
              <w:t xml:space="preserve"> class surplus</w:t>
            </w:r>
          </w:p>
        </w:tc>
      </w:tr>
      <w:tr w:rsidR="009128FF" w:rsidRPr="00F26BC2" w14:paraId="09E25EE3" w14:textId="77777777" w:rsidTr="009128FF">
        <w:tc>
          <w:tcPr>
            <w:tcW w:w="2263" w:type="dxa"/>
            <w:shd w:val="clear" w:color="auto" w:fill="FBD1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FEAC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£8m</w:t>
            </w:r>
          </w:p>
        </w:tc>
        <w:tc>
          <w:tcPr>
            <w:tcW w:w="6743" w:type="dxa"/>
            <w:shd w:val="clear" w:color="auto" w:fill="FBD1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F023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color w:val="000000"/>
              </w:rPr>
              <w:t xml:space="preserve">Contribution from </w:t>
            </w:r>
            <w:r>
              <w:rPr>
                <w:rFonts w:ascii="Arial" w:hAnsi="Arial" w:cs="Arial"/>
                <w:b/>
                <w:bCs/>
                <w:color w:val="000000"/>
              </w:rPr>
              <w:t>LDII</w:t>
            </w:r>
            <w:r w:rsidRPr="00F26BC2">
              <w:rPr>
                <w:rFonts w:ascii="Arial" w:hAnsi="Arial" w:cs="Arial"/>
                <w:color w:val="000000"/>
              </w:rPr>
              <w:t xml:space="preserve"> class</w:t>
            </w:r>
          </w:p>
        </w:tc>
      </w:tr>
      <w:tr w:rsidR="009128FF" w:rsidRPr="00F26BC2" w14:paraId="0A6D5CB1" w14:textId="77777777" w:rsidTr="009128FF">
        <w:tc>
          <w:tcPr>
            <w:tcW w:w="2263" w:type="dxa"/>
            <w:shd w:val="clear" w:color="auto" w:fill="FBD1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DACB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£5m</w:t>
            </w:r>
          </w:p>
        </w:tc>
        <w:tc>
          <w:tcPr>
            <w:tcW w:w="6743" w:type="dxa"/>
            <w:shd w:val="clear" w:color="auto" w:fill="FBD1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7DA7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color w:val="000000"/>
              </w:rPr>
              <w:t xml:space="preserve">Contribution from the </w:t>
            </w:r>
            <w:r w:rsidRPr="00F26BC2">
              <w:rPr>
                <w:rFonts w:ascii="Arial" w:hAnsi="Arial" w:cs="Arial"/>
                <w:b/>
                <w:bCs/>
                <w:color w:val="000000"/>
              </w:rPr>
              <w:t>Deposit</w:t>
            </w:r>
            <w:r w:rsidRPr="00F26BC2">
              <w:rPr>
                <w:rFonts w:ascii="Arial" w:hAnsi="Arial" w:cs="Arial"/>
                <w:color w:val="000000"/>
              </w:rPr>
              <w:t xml:space="preserve"> class’s £7m surplus</w:t>
            </w:r>
          </w:p>
        </w:tc>
      </w:tr>
      <w:tr w:rsidR="009128FF" w:rsidRPr="00F26BC2" w14:paraId="5479D8F0" w14:textId="77777777" w:rsidTr="009128FF">
        <w:tc>
          <w:tcPr>
            <w:tcW w:w="2263" w:type="dxa"/>
            <w:shd w:val="clear" w:color="auto" w:fill="FBD1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B0DE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£51m</w:t>
            </w:r>
          </w:p>
        </w:tc>
        <w:tc>
          <w:tcPr>
            <w:tcW w:w="6743" w:type="dxa"/>
            <w:shd w:val="clear" w:color="auto" w:fill="FBD1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01D3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color w:val="000000"/>
              </w:rPr>
              <w:t>Amount called from other classes (non-L</w:t>
            </w:r>
            <w:r>
              <w:rPr>
                <w:rFonts w:ascii="Arial" w:hAnsi="Arial" w:cs="Arial"/>
                <w:color w:val="000000"/>
              </w:rPr>
              <w:t>DII</w:t>
            </w:r>
            <w:r w:rsidRPr="00F26BC2">
              <w:rPr>
                <w:rFonts w:ascii="Arial" w:hAnsi="Arial" w:cs="Arial"/>
                <w:color w:val="000000"/>
              </w:rPr>
              <w:t>), including those in the retail pool</w:t>
            </w:r>
          </w:p>
        </w:tc>
      </w:tr>
      <w:tr w:rsidR="009128FF" w:rsidRPr="00F26BC2" w14:paraId="2BC439C7" w14:textId="77777777" w:rsidTr="009128FF">
        <w:tc>
          <w:tcPr>
            <w:tcW w:w="9006" w:type="dxa"/>
            <w:gridSpan w:val="2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4E7F" w14:textId="77777777" w:rsidR="009128FF" w:rsidRPr="00F26BC2" w:rsidRDefault="009128FF" w:rsidP="006C7105">
            <w:pPr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Breakdown of £51m contribution from other classes</w:t>
            </w:r>
          </w:p>
        </w:tc>
      </w:tr>
      <w:tr w:rsidR="009128FF" w:rsidRPr="00F26BC2" w14:paraId="26F3285A" w14:textId="77777777" w:rsidTr="009128FF">
        <w:tc>
          <w:tcPr>
            <w:tcW w:w="226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4064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£5m</w:t>
            </w:r>
          </w:p>
        </w:tc>
        <w:tc>
          <w:tcPr>
            <w:tcW w:w="674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FF8B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Deposit</w:t>
            </w:r>
            <w:r w:rsidRPr="00F26BC2">
              <w:rPr>
                <w:rFonts w:ascii="Arial" w:hAnsi="Arial" w:cs="Arial"/>
                <w:color w:val="000000"/>
              </w:rPr>
              <w:t xml:space="preserve"> class retail pool contribution</w:t>
            </w:r>
          </w:p>
        </w:tc>
      </w:tr>
      <w:tr w:rsidR="009128FF" w:rsidRPr="00F26BC2" w14:paraId="364BA35E" w14:textId="77777777" w:rsidTr="009128FF">
        <w:tc>
          <w:tcPr>
            <w:tcW w:w="226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C8A7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£10m</w:t>
            </w:r>
          </w:p>
        </w:tc>
        <w:tc>
          <w:tcPr>
            <w:tcW w:w="674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A534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General Insurance Provision</w:t>
            </w:r>
            <w:r w:rsidRPr="00F26BC2">
              <w:rPr>
                <w:rFonts w:ascii="Arial" w:hAnsi="Arial" w:cs="Arial"/>
                <w:color w:val="000000"/>
              </w:rPr>
              <w:t xml:space="preserve"> class retail pool contribution</w:t>
            </w:r>
          </w:p>
        </w:tc>
      </w:tr>
      <w:tr w:rsidR="009128FF" w:rsidRPr="00F26BC2" w14:paraId="78034527" w14:textId="77777777" w:rsidTr="009128FF">
        <w:tc>
          <w:tcPr>
            <w:tcW w:w="226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2112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£2m</w:t>
            </w:r>
          </w:p>
        </w:tc>
        <w:tc>
          <w:tcPr>
            <w:tcW w:w="674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73CD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 xml:space="preserve">Life Insurance Provision </w:t>
            </w:r>
            <w:r w:rsidRPr="00F26BC2">
              <w:rPr>
                <w:rFonts w:ascii="Arial" w:hAnsi="Arial" w:cs="Arial"/>
                <w:color w:val="000000"/>
              </w:rPr>
              <w:t>class provider contribution to additional costs of Life Distribution class &amp; Investment Intermediation class</w:t>
            </w:r>
          </w:p>
        </w:tc>
      </w:tr>
      <w:tr w:rsidR="009128FF" w:rsidRPr="00F26BC2" w14:paraId="31C7137E" w14:textId="77777777" w:rsidTr="009128FF">
        <w:tc>
          <w:tcPr>
            <w:tcW w:w="226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E686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£29m</w:t>
            </w:r>
          </w:p>
        </w:tc>
        <w:tc>
          <w:tcPr>
            <w:tcW w:w="674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782C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General Insurance Distribution</w:t>
            </w:r>
            <w:r w:rsidRPr="00F26BC2">
              <w:rPr>
                <w:rFonts w:ascii="Arial" w:hAnsi="Arial" w:cs="Arial"/>
                <w:color w:val="000000"/>
              </w:rPr>
              <w:t xml:space="preserve"> class retail pool contribution</w:t>
            </w:r>
          </w:p>
        </w:tc>
      </w:tr>
      <w:tr w:rsidR="009128FF" w:rsidRPr="00F26BC2" w14:paraId="751AAEE0" w14:textId="77777777" w:rsidTr="009128FF">
        <w:tc>
          <w:tcPr>
            <w:tcW w:w="226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84A4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£1m</w:t>
            </w:r>
          </w:p>
        </w:tc>
        <w:tc>
          <w:tcPr>
            <w:tcW w:w="674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6670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Home Finance Provision</w:t>
            </w:r>
            <w:r w:rsidRPr="00F26BC2">
              <w:rPr>
                <w:rFonts w:ascii="Arial" w:hAnsi="Arial" w:cs="Arial"/>
                <w:color w:val="000000"/>
              </w:rPr>
              <w:t xml:space="preserve"> class retail pool contribution</w:t>
            </w:r>
          </w:p>
        </w:tc>
      </w:tr>
      <w:tr w:rsidR="009128FF" w:rsidRPr="00F26BC2" w14:paraId="045241C8" w14:textId="77777777" w:rsidTr="009128FF">
        <w:tc>
          <w:tcPr>
            <w:tcW w:w="226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BF90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£2m</w:t>
            </w:r>
          </w:p>
        </w:tc>
        <w:tc>
          <w:tcPr>
            <w:tcW w:w="674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B846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Home Finance Intermediation</w:t>
            </w:r>
            <w:r w:rsidRPr="00F26BC2">
              <w:rPr>
                <w:rFonts w:ascii="Arial" w:hAnsi="Arial" w:cs="Arial"/>
                <w:color w:val="000000"/>
              </w:rPr>
              <w:t xml:space="preserve"> class retail pool contribution</w:t>
            </w:r>
          </w:p>
        </w:tc>
      </w:tr>
      <w:tr w:rsidR="009128FF" w:rsidRPr="00F26BC2" w14:paraId="01367209" w14:textId="77777777" w:rsidTr="009128FF">
        <w:tc>
          <w:tcPr>
            <w:tcW w:w="226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3BCB" w14:textId="77777777" w:rsidR="009128FF" w:rsidRPr="00F26BC2" w:rsidRDefault="009128FF" w:rsidP="006C71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>£2m</w:t>
            </w:r>
          </w:p>
        </w:tc>
        <w:tc>
          <w:tcPr>
            <w:tcW w:w="6743" w:type="dxa"/>
            <w:shd w:val="clear" w:color="auto" w:fill="D5E5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C60B" w14:textId="77777777" w:rsidR="009128FF" w:rsidRPr="00F26BC2" w:rsidRDefault="009128FF" w:rsidP="006C7105">
            <w:pPr>
              <w:rPr>
                <w:rFonts w:ascii="Arial" w:hAnsi="Arial" w:cs="Arial"/>
              </w:rPr>
            </w:pPr>
            <w:r w:rsidRPr="00F26BC2">
              <w:rPr>
                <w:rFonts w:ascii="Arial" w:hAnsi="Arial" w:cs="Arial"/>
                <w:b/>
                <w:bCs/>
                <w:color w:val="000000"/>
              </w:rPr>
              <w:t xml:space="preserve">Debt Management </w:t>
            </w:r>
            <w:r w:rsidRPr="00F26BC2">
              <w:rPr>
                <w:rFonts w:ascii="Arial" w:hAnsi="Arial" w:cs="Arial"/>
                <w:color w:val="000000"/>
              </w:rPr>
              <w:t>retail pool contribution</w:t>
            </w:r>
          </w:p>
        </w:tc>
      </w:tr>
    </w:tbl>
    <w:p w14:paraId="20C1752D" w14:textId="77777777" w:rsidR="009128FF" w:rsidRDefault="009128FF" w:rsidP="009128FF">
      <w:pPr>
        <w:rPr>
          <w:rFonts w:ascii="Arial" w:hAnsi="Arial" w:cs="Arial"/>
          <w:color w:val="000000" w:themeColor="text1"/>
        </w:rPr>
      </w:pPr>
    </w:p>
    <w:p w14:paraId="4ED299CF" w14:textId="77777777" w:rsidR="009128FF" w:rsidRDefault="009128FF"/>
    <w:sectPr w:rsidR="00912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2NjYxMzAxNLEwNTVS0lEKTi0uzszPAykwrAUA26IsPSwAAAA="/>
  </w:docVars>
  <w:rsids>
    <w:rsidRoot w:val="009128FF"/>
    <w:rsid w:val="000F7CD5"/>
    <w:rsid w:val="00171482"/>
    <w:rsid w:val="001C5F5B"/>
    <w:rsid w:val="0039357A"/>
    <w:rsid w:val="0091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F2A1"/>
  <w15:chartTrackingRefBased/>
  <w15:docId w15:val="{48C5EC57-973C-402E-A95D-408AE669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D8D1EA15DBC4EB5F30CE0424A799E" ma:contentTypeVersion="13" ma:contentTypeDescription="Create a new document." ma:contentTypeScope="" ma:versionID="178872dec0b6f612b865099f7804281b">
  <xsd:schema xmlns:xsd="http://www.w3.org/2001/XMLSchema" xmlns:xs="http://www.w3.org/2001/XMLSchema" xmlns:p="http://schemas.microsoft.com/office/2006/metadata/properties" xmlns:ns3="908d90d3-1303-422e-b128-835404894cb5" xmlns:ns4="9e92824c-efbf-43ca-82d1-393b5dc04969" targetNamespace="http://schemas.microsoft.com/office/2006/metadata/properties" ma:root="true" ma:fieldsID="71f5f28eb11f368fdcaf968957ee0202" ns3:_="" ns4:_="">
    <xsd:import namespace="908d90d3-1303-422e-b128-835404894cb5"/>
    <xsd:import namespace="9e92824c-efbf-43ca-82d1-393b5dc04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d90d3-1303-422e-b128-835404894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2824c-efbf-43ca-82d1-393b5dc04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AA801-C949-41F7-9663-C04A2BCC9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d90d3-1303-422e-b128-835404894cb5"/>
    <ds:schemaRef ds:uri="9e92824c-efbf-43ca-82d1-393b5dc04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5A9CE-9E98-40BB-8C02-8CD8B45E2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118E7-D1C0-416C-B60B-1D2E2CDE40B7}">
  <ds:schemaRefs>
    <ds:schemaRef ds:uri="908d90d3-1303-422e-b128-835404894cb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e92824c-efbf-43ca-82d1-393b5dc0496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Kelly</dc:creator>
  <cp:keywords/>
  <dc:description/>
  <cp:lastModifiedBy>Suzette Browne</cp:lastModifiedBy>
  <cp:revision>2</cp:revision>
  <dcterms:created xsi:type="dcterms:W3CDTF">2020-11-25T09:57:00Z</dcterms:created>
  <dcterms:modified xsi:type="dcterms:W3CDTF">2020-11-25T09:57:00Z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0x010100659D8D1EA15DBC4EB5F30CE0424A799E</vt:lpwstr>
  </property>
  <property fmtid="{D5CDD505-2E9C-101B-9397-08002B2CF9AE}" pid="3" name="Related Teams">
    <vt:lpwstr/>
  </property>
  <property fmtid="{D5CDD505-2E9C-101B-9397-08002B2CF9AE}" pid="4" name="Project">
    <vt:lpwstr/>
  </property>
  <property fmtid="{D5CDD505-2E9C-101B-9397-08002B2CF9AE}" pid="5" name="Client_Tag">
    <vt:lpwstr/>
  </property>
</Properties>
</file>